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8961" cy="1152525"/>
            <wp:effectExtent l="0" t="0" r="6985" b="0"/>
            <wp:docPr id="1" name="Рисунок 1" descr="C:\Users\SamsonenkoMM\Desktop\Основное лого 2 Сама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onenkoMM\Desktop\Основное лого 2 Сама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409" cy="115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19.09.2022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Долевка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Самарской области пошла в рост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августе Управление Росреестра по Самарской области зарегистрировало в два раза больше договоров участия в долевом строительстве, чем в июле. Всего за 8 месяцев 2022 года зарегистрировано около 4800 таких договоров.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Самое большое количество ДДУ зарегистрировано в марте – почти 1300 договоров. В мае, июне и июле покупательский спрос снизился, но в августе начал восстанавливаться, продажи новостроек показали рост.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время как по ДДУ на протяжении 2022 года заявления поступают неравномерно, количество зарегистрированных прав в введенных в эксплуатацию многоквартирных жилых домах на протяжении 8 месяцев текущего года ежемесячно стабильно превышает 1000. Больше всего прав дольщиков было зарегистрировано в апреле – 1684. Всего за этот год зарегистрировано порядка 9500 прав на объекты долевого строительства.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gramStart"/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  <w:proofErr w:type="gramEnd"/>
      </w:hyperlink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138A8-58EC-4F43-8F36-30204B89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rosreestr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_6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15</cp:revision>
  <cp:lastPrinted>2022-09-16T13:31:00Z</cp:lastPrinted>
  <dcterms:created xsi:type="dcterms:W3CDTF">2022-09-16T10:09:00Z</dcterms:created>
  <dcterms:modified xsi:type="dcterms:W3CDTF">2022-09-16T13:45:00Z</dcterms:modified>
</cp:coreProperties>
</file>